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Polls Accuracy</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Name</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Institutional Affiliation</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Historical analysis of polls shows that they are not an accurate assessment of public opinion. Polls can provide sample analysis of public attitudes but they fail to measure public behaviors. It’s assumed that public behaviors are always irrational and can change over time. Most of the poll surveys usually create an illusion of precision but they do not provide sufficient analysis of truthful data and information about a future event. The CNN polls in 2016 had predicted that Hillary Clinton would win the election by a wide margin but they were in for a rude shock. Donald Trump went ahead to win the election under the republican ticket. The main problem with the polls is that they do not provide an accurate measure of the tally of votes, which shows that these polls are always inaccurate representation of the truth. </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Polls can sway public opinion because they initially create the illusion that a particular candidate is going to win the election. This is illusion is always bad for the election as the people will always vote in that particular direction as they consider that candidate would win the election. It’s true that the overabundance of accessible information leads to inaccurate polls. This is due to the existence of the generation and also percentage of error which inaccurately represents a particular population. The percentage of error in these polls have continued to rise over the years, which is a major indicator that the polls are not accurate representation of the truth. The random selection of information from large populations can also be misleading because it fails to provide accurate representation of personal information that has been represented in each of the polls (Dimock, 2020). </w:t>
      </w: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References</w:t>
      </w:r>
    </w:p>
    <w:p>
      <w:pPr>
        <w:spacing w:before="0" w:after="160" w:line="4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Dimock, Michael. (2020). what we can trust 2020 election polls to tell us. Pew Research center. Retrieved from </w:t>
      </w:r>
      <w:hyperlink xmlns:r="http://schemas.openxmlformats.org/officeDocument/2006/relationships" r:id="docRId0">
        <w:r>
          <w:rPr>
            <w:rFonts w:ascii="Times New Roman" w:hAnsi="Times New Roman" w:cs="Times New Roman" w:eastAsia="Times New Roman"/>
            <w:color w:val="0000FF"/>
            <w:spacing w:val="0"/>
            <w:position w:val="0"/>
            <w:sz w:val="24"/>
            <w:u w:val="single"/>
            <w:shd w:fill="auto" w:val="clear"/>
          </w:rPr>
          <w:t xml:space="preserve">https://www.pewresearch.org/fact-tank/2020/10/29/what-we-can-trust-2020-election-polls-to-tell-us/</w:t>
        </w:r>
      </w:hyperlink>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Mode="External" Target="https://www.pewresearch.org/fact-tank/2020/10/29/what-we-can-trust-2020-election-polls-to-tell-us/" Id="docRId0" Type="http://schemas.openxmlformats.org/officeDocument/2006/relationships/hyperlink" /><Relationship Target="numbering.xml" Id="docRId1" Type="http://schemas.openxmlformats.org/officeDocument/2006/relationships/numbering" /><Relationship Target="styles.xml" Id="docRId2" Type="http://schemas.openxmlformats.org/officeDocument/2006/relationships/styles" /></Relationships>
</file>